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5" w:rsidRDefault="00206DC5">
      <w:proofErr w:type="gramStart"/>
      <w:r>
        <w:t xml:space="preserve">COMMENT </w:t>
      </w:r>
      <w:r w:rsidR="00A20381">
        <w:t>:</w:t>
      </w:r>
      <w:proofErr w:type="gramEnd"/>
      <w:r w:rsidR="00A20381">
        <w:t xml:space="preserve"> PUTTING THE</w:t>
      </w:r>
      <w:r>
        <w:t xml:space="preserve"> NIF FUEL GAIN RESULTS</w:t>
      </w:r>
      <w:r w:rsidR="00A20381">
        <w:t xml:space="preserve"> IN PERSPECTIVE</w:t>
      </w:r>
      <w:r w:rsidR="00A20381">
        <w:tab/>
      </w:r>
      <w:r>
        <w:t xml:space="preserve"> by Weston M. Stacey 2/17/14</w:t>
      </w:r>
      <w:r w:rsidR="002908EB">
        <w:tab/>
      </w:r>
    </w:p>
    <w:p w:rsidR="00D16348" w:rsidRDefault="002908EB" w:rsidP="00206DC5">
      <w:pPr>
        <w:ind w:firstLine="720"/>
        <w:jc w:val="both"/>
      </w:pPr>
      <w:r>
        <w:t>In a recent Letter</w:t>
      </w:r>
      <w:r>
        <w:rPr>
          <w:vertAlign w:val="superscript"/>
        </w:rPr>
        <w:t>1</w:t>
      </w:r>
      <w:r>
        <w:t xml:space="preserve">, </w:t>
      </w:r>
      <w:r w:rsidR="00B1724F">
        <w:t>new</w:t>
      </w:r>
      <w:r w:rsidR="00667BAB">
        <w:t xml:space="preserve"> results</w:t>
      </w:r>
      <w:r>
        <w:t xml:space="preserve"> from the National Ignition Facility at the Lawrence Livermore Laboratory </w:t>
      </w:r>
      <w:r w:rsidR="00667BAB">
        <w:t xml:space="preserve">were </w:t>
      </w:r>
      <w:r>
        <w:t xml:space="preserve">reported </w:t>
      </w:r>
      <w:r w:rsidR="00667BAB">
        <w:t xml:space="preserve">which </w:t>
      </w:r>
      <w:r>
        <w:t xml:space="preserve">showed an order of magnitude improvement in </w:t>
      </w:r>
      <w:r w:rsidR="00667BAB">
        <w:t xml:space="preserve">fusion energy </w:t>
      </w:r>
      <w:r>
        <w:t>yield performance over previous deuterium-tritium implosion experiments</w:t>
      </w:r>
      <w:r w:rsidR="00A37BB9">
        <w:t>, which is an impressive advance in the state-of-the-art.</w:t>
      </w:r>
      <w:r w:rsidR="00667BAB">
        <w:t xml:space="preserve">  Although no such claims are made in the Letter, the title and abstract (and the accompanying press release) would seem to imply that a major threshold has been crossed</w:t>
      </w:r>
      <w:r w:rsidR="00D16348">
        <w:t xml:space="preserve"> and inertial fusion power is in the offing.  The purpose of this Comment is to put these new results in perspective vis-à-vis the status of fusion power research in magnetic and inertial confinemen</w:t>
      </w:r>
      <w:r w:rsidR="004C3421">
        <w:t>t</w:t>
      </w:r>
      <w:r w:rsidR="00B1724F">
        <w:t xml:space="preserve"> and the requirements for practical fusion power</w:t>
      </w:r>
      <w:r w:rsidR="00D16348">
        <w:t>.</w:t>
      </w:r>
    </w:p>
    <w:p w:rsidR="0077774C" w:rsidRDefault="00D16348" w:rsidP="00206DC5">
      <w:pPr>
        <w:jc w:val="both"/>
      </w:pPr>
      <w:r>
        <w:tab/>
        <w:t xml:space="preserve">Since a certain amount of energy must be input from external sources to bring the deuterium-tritium fuel </w:t>
      </w:r>
      <w:r w:rsidR="0027636F">
        <w:t>to the high energies at which the cross section for fusion become</w:t>
      </w:r>
      <w:r w:rsidR="000901E3">
        <w:t>s</w:t>
      </w:r>
      <w:r w:rsidR="0027636F">
        <w:t xml:space="preserve"> appreciable, the conventional energy yield performance parameter for a fusion experiment is the ratio of the fusion energy produced in the experiment to the external energy provided to the reaction chamber</w:t>
      </w:r>
      <w:r w:rsidR="00CF4910">
        <w:t xml:space="preserve"> to create the conditions for fusion</w:t>
      </w:r>
      <w:proofErr w:type="gramStart"/>
      <w:r w:rsidR="0027636F">
        <w:t xml:space="preserve">, </w:t>
      </w:r>
      <w:proofErr w:type="gramEnd"/>
      <w:r w:rsidR="0027636F" w:rsidRPr="0027636F">
        <w:rPr>
          <w:position w:val="-14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>
            <v:imagedata r:id="rId5" o:title=""/>
          </v:shape>
          <o:OLEObject Type="Embed" ProgID="Equation.DSMT4" ShapeID="_x0000_i1025" DrawAspect="Content" ObjectID="_1454150450" r:id="rId6"/>
        </w:object>
      </w:r>
      <w:r w:rsidR="0027636F">
        <w:t>.  Conceptual design studies of various magnetic confinement fusion reactor concepts indicate that</w:t>
      </w:r>
      <w:r w:rsidR="00437E9D">
        <w:t>,</w:t>
      </w:r>
      <w:r w:rsidR="0027636F">
        <w:t xml:space="preserve"> in order to </w:t>
      </w:r>
      <w:r w:rsidR="00CF4910">
        <w:t xml:space="preserve">also </w:t>
      </w:r>
      <w:r w:rsidR="0027636F">
        <w:t>provide the electrical power need</w:t>
      </w:r>
      <w:r w:rsidR="00437E9D">
        <w:t>ed</w:t>
      </w:r>
      <w:r w:rsidR="0027636F">
        <w:t xml:space="preserve"> to operate the reactor</w:t>
      </w:r>
      <w:r w:rsidR="00437E9D">
        <w:t xml:space="preserve"> and taking into account inefficiencies in converting the fusion energy first to thermal energy and then to electrical energy,  a </w:t>
      </w:r>
      <w:r w:rsidR="000901E3">
        <w:t xml:space="preserve">minimum </w:t>
      </w:r>
      <w:r w:rsidR="00437E9D">
        <w:t xml:space="preserve">value of </w:t>
      </w:r>
      <w:r w:rsidR="00437E9D" w:rsidRPr="00437E9D">
        <w:rPr>
          <w:position w:val="-14"/>
        </w:rPr>
        <w:object w:dxaOrig="1300" w:dyaOrig="380">
          <v:shape id="_x0000_i1026" type="#_x0000_t75" style="width:65.25pt;height:18.75pt" o:ole="">
            <v:imagedata r:id="rId7" o:title=""/>
          </v:shape>
          <o:OLEObject Type="Embed" ProgID="Equation.DSMT4" ShapeID="_x0000_i1026" DrawAspect="Content" ObjectID="_1454150451" r:id="rId8"/>
        </w:object>
      </w:r>
      <w:r w:rsidR="00A37BB9">
        <w:t xml:space="preserve"> </w:t>
      </w:r>
      <w:r w:rsidR="00437E9D">
        <w:t>will be required</w:t>
      </w:r>
      <w:r w:rsidR="00993E10">
        <w:t xml:space="preserve"> for a net-power producing magnetic confinement fusion reactor</w:t>
      </w:r>
      <w:r w:rsidR="00CF4910">
        <w:t>.  A</w:t>
      </w:r>
      <w:r w:rsidR="007B3097">
        <w:t xml:space="preserve"> larger value will likely be required for a net power producing inertial fusion reactor</w:t>
      </w:r>
      <w:r w:rsidR="00437E9D">
        <w:t xml:space="preserve">.  </w:t>
      </w:r>
      <w:proofErr w:type="gramStart"/>
      <w:r w:rsidR="00437E9D">
        <w:t xml:space="preserve">Using </w:t>
      </w:r>
      <w:r w:rsidR="00A37BB9">
        <w:t xml:space="preserve"> </w:t>
      </w:r>
      <w:proofErr w:type="gramEnd"/>
      <w:r w:rsidR="00437E9D" w:rsidRPr="00437E9D">
        <w:rPr>
          <w:position w:val="-12"/>
        </w:rPr>
        <w:object w:dxaOrig="1980" w:dyaOrig="360">
          <v:shape id="_x0000_i1027" type="#_x0000_t75" style="width:99pt;height:18pt" o:ole="">
            <v:imagedata r:id="rId9" o:title=""/>
          </v:shape>
          <o:OLEObject Type="Embed" ProgID="Equation.DSMT4" ShapeID="_x0000_i1027" DrawAspect="Content" ObjectID="_1454150452" r:id="rId10"/>
        </w:object>
      </w:r>
      <w:r w:rsidR="00437E9D">
        <w:t xml:space="preserve">and </w:t>
      </w:r>
      <w:r w:rsidR="00993E10" w:rsidRPr="00437E9D">
        <w:rPr>
          <w:position w:val="-14"/>
        </w:rPr>
        <w:object w:dxaOrig="420" w:dyaOrig="380">
          <v:shape id="_x0000_i1028" type="#_x0000_t75" style="width:21pt;height:18.75pt" o:ole="">
            <v:imagedata r:id="rId11" o:title=""/>
          </v:shape>
          <o:OLEObject Type="Embed" ProgID="Equation.DSMT4" ShapeID="_x0000_i1028" DrawAspect="Content" ObjectID="_1454150453" r:id="rId12"/>
        </w:object>
      </w:r>
      <w:r w:rsidR="00993E10">
        <w:t xml:space="preserve">= 17.3 and 14.4 </w:t>
      </w:r>
      <w:r w:rsidR="00993E10" w:rsidRPr="00993E10">
        <w:rPr>
          <w:i/>
        </w:rPr>
        <w:t>k</w:t>
      </w:r>
      <w:r w:rsidR="00993E10">
        <w:rPr>
          <w:i/>
        </w:rPr>
        <w:t xml:space="preserve">J </w:t>
      </w:r>
      <w:r w:rsidR="00993E10">
        <w:t xml:space="preserve">results in </w:t>
      </w:r>
      <w:r w:rsidR="00993E10" w:rsidRPr="00993E10">
        <w:rPr>
          <w:position w:val="-14"/>
        </w:rPr>
        <w:object w:dxaOrig="320" w:dyaOrig="380">
          <v:shape id="_x0000_i1029" type="#_x0000_t75" style="width:15.75pt;height:18.75pt" o:ole="">
            <v:imagedata r:id="rId13" o:title=""/>
          </v:shape>
          <o:OLEObject Type="Embed" ProgID="Equation.DSMT4" ShapeID="_x0000_i1029" DrawAspect="Content" ObjectID="_1454150454" r:id="rId14"/>
        </w:object>
      </w:r>
      <w:r w:rsidR="00993E10">
        <w:t>= 0.0091 and 0.0076</w:t>
      </w:r>
      <w:r w:rsidR="007B3097">
        <w:t xml:space="preserve">, or </w:t>
      </w:r>
      <w:r w:rsidR="007B3097" w:rsidRPr="00993E10">
        <w:rPr>
          <w:position w:val="-14"/>
        </w:rPr>
        <w:object w:dxaOrig="320" w:dyaOrig="380">
          <v:shape id="_x0000_i1030" type="#_x0000_t75" style="width:15.75pt;height:18.75pt" o:ole="">
            <v:imagedata r:id="rId13" o:title=""/>
          </v:shape>
          <o:OLEObject Type="Embed" ProgID="Equation.DSMT4" ShapeID="_x0000_i1030" DrawAspect="Content" ObjectID="_1454150455" r:id="rId15"/>
        </w:object>
      </w:r>
      <w:r w:rsidR="00993E10">
        <w:t xml:space="preserve"> </w:t>
      </w:r>
      <w:r w:rsidR="00993E10" w:rsidRPr="00993E10">
        <w:rPr>
          <w:position w:val="-4"/>
        </w:rPr>
        <w:object w:dxaOrig="220" w:dyaOrig="180">
          <v:shape id="_x0000_i1031" type="#_x0000_t75" style="width:11.25pt;height:9pt" o:ole="">
            <v:imagedata r:id="rId16" o:title=""/>
          </v:shape>
          <o:OLEObject Type="Embed" ProgID="Equation.DSMT4" ShapeID="_x0000_i1031" DrawAspect="Content" ObjectID="_1454150456" r:id="rId17"/>
        </w:object>
      </w:r>
      <w:r w:rsidR="00993E10">
        <w:t xml:space="preserve">0.01 for the two NIF shots described in the Letter.  By comparison, the </w:t>
      </w:r>
      <w:proofErr w:type="spellStart"/>
      <w:r w:rsidR="00993E10">
        <w:t>tokamak</w:t>
      </w:r>
      <w:proofErr w:type="spellEnd"/>
      <w:r w:rsidR="00993E10">
        <w:t xml:space="preserve"> magnetic confinement fusion concept </w:t>
      </w:r>
      <w:proofErr w:type="gramStart"/>
      <w:r w:rsidR="00993E10">
        <w:t xml:space="preserve">achieved  </w:t>
      </w:r>
      <w:proofErr w:type="gramEnd"/>
      <w:r w:rsidR="00993E10" w:rsidRPr="00993E10">
        <w:rPr>
          <w:position w:val="-14"/>
        </w:rPr>
        <w:object w:dxaOrig="320" w:dyaOrig="380">
          <v:shape id="_x0000_i1032" type="#_x0000_t75" style="width:15.75pt;height:18.75pt" o:ole="">
            <v:imagedata r:id="rId13" o:title=""/>
          </v:shape>
          <o:OLEObject Type="Embed" ProgID="Equation.DSMT4" ShapeID="_x0000_i1032" DrawAspect="Content" ObjectID="_1454150457" r:id="rId18"/>
        </w:object>
      </w:r>
      <w:r w:rsidR="00993E10">
        <w:t xml:space="preserve">= 0.27 in TFTR in 1994 and </w:t>
      </w:r>
      <w:r w:rsidR="00993E10" w:rsidRPr="00993E10">
        <w:rPr>
          <w:position w:val="-14"/>
        </w:rPr>
        <w:object w:dxaOrig="320" w:dyaOrig="380">
          <v:shape id="_x0000_i1033" type="#_x0000_t75" style="width:15.75pt;height:18.75pt" o:ole="">
            <v:imagedata r:id="rId13" o:title=""/>
          </v:shape>
          <o:OLEObject Type="Embed" ProgID="Equation.DSMT4" ShapeID="_x0000_i1033" DrawAspect="Content" ObjectID="_1454150458" r:id="rId19"/>
        </w:object>
      </w:r>
      <w:r w:rsidR="00993E10">
        <w:t xml:space="preserve">= 0.65 in JET in 1997, and the design value in the ITER experiment to operate in the 2020s is </w:t>
      </w:r>
      <w:r w:rsidR="00993E10" w:rsidRPr="00993E10">
        <w:rPr>
          <w:position w:val="-14"/>
        </w:rPr>
        <w:object w:dxaOrig="320" w:dyaOrig="380">
          <v:shape id="_x0000_i1034" type="#_x0000_t75" style="width:15.75pt;height:18.75pt" o:ole="">
            <v:imagedata r:id="rId13" o:title=""/>
          </v:shape>
          <o:OLEObject Type="Embed" ProgID="Equation.DSMT4" ShapeID="_x0000_i1034" DrawAspect="Content" ObjectID="_1454150459" r:id="rId20"/>
        </w:object>
      </w:r>
      <w:r w:rsidR="00993E10">
        <w:t>=10.</w:t>
      </w:r>
    </w:p>
    <w:p w:rsidR="00206DC5" w:rsidRPr="00FE0138" w:rsidRDefault="00B1724F" w:rsidP="00206DC5">
      <w:pPr>
        <w:jc w:val="both"/>
      </w:pPr>
      <w:r>
        <w:tab/>
        <w:t xml:space="preserve">A different fusion energy performance parameter </w:t>
      </w:r>
      <w:r w:rsidRPr="00B1724F">
        <w:rPr>
          <w:position w:val="-14"/>
        </w:rPr>
        <w:object w:dxaOrig="1620" w:dyaOrig="380">
          <v:shape id="_x0000_i1035" type="#_x0000_t75" style="width:81pt;height:18.75pt" o:ole="">
            <v:imagedata r:id="rId21" o:title=""/>
          </v:shape>
          <o:OLEObject Type="Embed" ProgID="Equation.DSMT4" ShapeID="_x0000_i1035" DrawAspect="Content" ObjectID="_1454150460" r:id="rId22"/>
        </w:object>
      </w:r>
      <w:r w:rsidR="00CF4910">
        <w:t xml:space="preserve">is discussed in the Letter.  In </w:t>
      </w:r>
      <w:r w:rsidR="00D260C2">
        <w:t xml:space="preserve">the </w:t>
      </w:r>
      <w:r w:rsidR="00CF4910">
        <w:t>NIF</w:t>
      </w:r>
      <w:r w:rsidR="00D260C2">
        <w:t xml:space="preserve"> experiments</w:t>
      </w:r>
      <w:r w:rsidR="00CF4910">
        <w:t xml:space="preserve">, 192 lasers </w:t>
      </w:r>
      <w:proofErr w:type="gramStart"/>
      <w:r w:rsidR="00CF4910">
        <w:t>deliver</w:t>
      </w:r>
      <w:r w:rsidR="00D260C2">
        <w:t xml:space="preserve">ed </w:t>
      </w:r>
      <w:r w:rsidR="00CF4910">
        <w:t xml:space="preserve"> 1.9</w:t>
      </w:r>
      <w:proofErr w:type="gramEnd"/>
      <w:r w:rsidR="00CF4910">
        <w:t xml:space="preserve"> </w:t>
      </w:r>
      <w:r w:rsidR="00CF4910" w:rsidRPr="00CF4910">
        <w:rPr>
          <w:i/>
        </w:rPr>
        <w:t>MJ</w:t>
      </w:r>
      <w:r w:rsidR="00CF4910">
        <w:rPr>
          <w:i/>
        </w:rPr>
        <w:t xml:space="preserve"> </w:t>
      </w:r>
      <w:r w:rsidR="00CF4910" w:rsidRPr="00CF4910">
        <w:t>of energy</w:t>
      </w:r>
      <w:r>
        <w:t xml:space="preserve"> </w:t>
      </w:r>
      <w:r w:rsidR="00CF4910">
        <w:t xml:space="preserve">onto a </w:t>
      </w:r>
      <w:r w:rsidR="00FB12B0">
        <w:t>small</w:t>
      </w:r>
      <w:r w:rsidR="00CF4910">
        <w:t xml:space="preserve"> gold cylinder</w:t>
      </w:r>
      <w:r w:rsidR="00FB12B0">
        <w:t>, which convert</w:t>
      </w:r>
      <w:r w:rsidR="00D260C2">
        <w:t>ed</w:t>
      </w:r>
      <w:r w:rsidR="00FB12B0">
        <w:t xml:space="preserve"> the laser energy to X-ray radiation, a fraction of which </w:t>
      </w:r>
      <w:r w:rsidR="00D260C2">
        <w:t>wa</w:t>
      </w:r>
      <w:r w:rsidR="00FB12B0">
        <w:t>s absorbed by a mm-scale capsule containing a layer of D-T ice</w:t>
      </w:r>
      <w:r w:rsidR="00D260C2">
        <w:t>, compressing it</w:t>
      </w:r>
      <w:r w:rsidR="00FB12B0">
        <w:t xml:space="preserve">.  A fraction of the </w:t>
      </w:r>
      <w:r w:rsidR="00715D06">
        <w:t xml:space="preserve">absorbed </w:t>
      </w:r>
      <w:r w:rsidR="00FB12B0">
        <w:t xml:space="preserve">X-ray energy </w:t>
      </w:r>
      <w:r w:rsidR="00D260C2">
        <w:t>wa</w:t>
      </w:r>
      <w:r w:rsidR="00FB12B0">
        <w:t>s converted to kinetic energy of the D-T which form</w:t>
      </w:r>
      <w:r w:rsidR="000901E3">
        <w:t>ed</w:t>
      </w:r>
      <w:r w:rsidR="00FB12B0">
        <w:t xml:space="preserve"> a hotspot to initiate the fusion reaction.  The total energy delivered to the D-T fuel </w:t>
      </w:r>
      <w:r w:rsidR="000D5A89">
        <w:t>wa</w:t>
      </w:r>
      <w:r w:rsidR="00FB12B0">
        <w:t xml:space="preserve">s </w:t>
      </w:r>
      <w:r w:rsidR="00FB12B0" w:rsidRPr="00FB12B0">
        <w:rPr>
          <w:position w:val="-12"/>
        </w:rPr>
        <w:object w:dxaOrig="440" w:dyaOrig="360">
          <v:shape id="_x0000_i1036" type="#_x0000_t75" style="width:21.75pt;height:18pt" o:ole="">
            <v:imagedata r:id="rId23" o:title=""/>
          </v:shape>
          <o:OLEObject Type="Embed" ProgID="Equation.DSMT4" ShapeID="_x0000_i1036" DrawAspect="Content" ObjectID="_1454150461" r:id="rId24"/>
        </w:object>
      </w:r>
      <w:r w:rsidR="00D260C2">
        <w:t xml:space="preserve">= 9 and 11 </w:t>
      </w:r>
      <w:r w:rsidR="00D260C2">
        <w:rPr>
          <w:i/>
        </w:rPr>
        <w:t xml:space="preserve">kJ </w:t>
      </w:r>
      <w:r w:rsidR="00D260C2" w:rsidRPr="00D260C2">
        <w:t>in these two shots</w:t>
      </w:r>
      <w:r w:rsidR="00D260C2">
        <w:t xml:space="preserve">, leading to values of </w:t>
      </w:r>
      <w:r w:rsidR="00D260C2" w:rsidRPr="00D260C2">
        <w:rPr>
          <w:position w:val="-14"/>
        </w:rPr>
        <w:object w:dxaOrig="480" w:dyaOrig="380">
          <v:shape id="_x0000_i1037" type="#_x0000_t75" style="width:24pt;height:18.75pt" o:ole="">
            <v:imagedata r:id="rId25" o:title=""/>
          </v:shape>
          <o:OLEObject Type="Embed" ProgID="Equation.DSMT4" ShapeID="_x0000_i1037" DrawAspect="Content" ObjectID="_1454150462" r:id="rId26"/>
        </w:object>
      </w:r>
      <w:r w:rsidR="00D260C2">
        <w:t>= 1.9 and 1.3</w:t>
      </w:r>
      <w:r w:rsidR="000D5A89">
        <w:t xml:space="preserve"> and the statement that the fuel gain exceed</w:t>
      </w:r>
      <w:r w:rsidR="000901E3">
        <w:t>ed</w:t>
      </w:r>
      <w:r w:rsidR="000D5A89">
        <w:t xml:space="preserve"> unity</w:t>
      </w:r>
      <w:r w:rsidR="00D260C2">
        <w:t>.</w:t>
      </w:r>
      <w:r w:rsidR="000D5A89">
        <w:t xml:space="preserve">  </w:t>
      </w:r>
      <w:proofErr w:type="gramStart"/>
      <w:r w:rsidR="000D5A89">
        <w:t xml:space="preserve">Clearly, </w:t>
      </w:r>
      <w:r w:rsidR="000D5A89" w:rsidRPr="000D5A89">
        <w:rPr>
          <w:position w:val="-14"/>
        </w:rPr>
        <w:object w:dxaOrig="2860" w:dyaOrig="380">
          <v:shape id="_x0000_i1038" type="#_x0000_t75" style="width:143.25pt;height:18.75pt" o:ole="">
            <v:imagedata r:id="rId27" o:title=""/>
          </v:shape>
          <o:OLEObject Type="Embed" ProgID="Equation.DSMT4" ShapeID="_x0000_i1038" DrawAspect="Content" ObjectID="_1454150463" r:id="rId28"/>
        </w:object>
      </w:r>
      <w:r w:rsidR="000D5A89">
        <w:t xml:space="preserve"> (i.e. the coupling of input power to the D-T fuel &lt; 1%).</w:t>
      </w:r>
      <w:proofErr w:type="gramEnd"/>
      <w:r w:rsidR="000D5A89">
        <w:t xml:space="preserve">   As noted previously</w:t>
      </w:r>
      <w:r w:rsidR="000D5A89">
        <w:rPr>
          <w:vertAlign w:val="superscript"/>
        </w:rPr>
        <w:t>2</w:t>
      </w:r>
      <w:proofErr w:type="gramStart"/>
      <w:r w:rsidR="00206DC5">
        <w:t>,  the</w:t>
      </w:r>
      <w:proofErr w:type="gramEnd"/>
      <w:r w:rsidR="00206DC5">
        <w:t xml:space="preserve"> use of these two different “energy gain” parameters can potentially lead to confusion</w:t>
      </w:r>
      <w:r w:rsidR="00FE0138">
        <w:t>.</w:t>
      </w:r>
    </w:p>
    <w:p w:rsidR="00C62710" w:rsidRDefault="00206DC5" w:rsidP="00206DC5">
      <w:pPr>
        <w:pStyle w:val="ListParagraph"/>
        <w:numPr>
          <w:ilvl w:val="0"/>
          <w:numId w:val="1"/>
        </w:numPr>
        <w:jc w:val="both"/>
      </w:pPr>
      <w:r>
        <w:t>O.</w:t>
      </w:r>
      <w:r w:rsidR="0077774C">
        <w:t xml:space="preserve"> A. Hurricane, D. A. Callahan, D. T. Casey, et al., “Fuel gain exceeding unity in an </w:t>
      </w:r>
      <w:proofErr w:type="spellStart"/>
      <w:r w:rsidR="0077774C">
        <w:t>inertially</w:t>
      </w:r>
      <w:proofErr w:type="spellEnd"/>
      <w:r w:rsidR="0077774C">
        <w:t xml:space="preserve"> confined fusion implosion”, Nature 13008, Feb 13 (2014). </w:t>
      </w:r>
    </w:p>
    <w:p w:rsidR="002908EB" w:rsidRDefault="003D4094" w:rsidP="00206DC5">
      <w:pPr>
        <w:pStyle w:val="ListParagraph"/>
        <w:numPr>
          <w:ilvl w:val="0"/>
          <w:numId w:val="1"/>
        </w:numPr>
        <w:jc w:val="both"/>
      </w:pPr>
      <w:r>
        <w:t xml:space="preserve">D. M. </w:t>
      </w:r>
      <w:proofErr w:type="spellStart"/>
      <w:r>
        <w:t>Meade,Princeton</w:t>
      </w:r>
      <w:proofErr w:type="spellEnd"/>
      <w:r>
        <w:t xml:space="preserve"> Plasma Physic Lab</w:t>
      </w:r>
      <w:r w:rsidR="002908EB">
        <w:t>.,</w:t>
      </w:r>
      <w:r>
        <w:t xml:space="preserve">  personal communication; also </w:t>
      </w:r>
      <w:r w:rsidR="002908EB">
        <w:t xml:space="preserve"> </w:t>
      </w:r>
      <w:hyperlink r:id="rId29" w:tgtFrame="_blank" w:history="1">
        <w:r w:rsidR="00941B66">
          <w:rPr>
            <w:rStyle w:val="Hyperlink"/>
          </w:rPr>
          <w:t>http://fire.pppl.gov</w:t>
        </w:r>
      </w:hyperlink>
    </w:p>
    <w:sectPr w:rsidR="002908EB" w:rsidSect="00C6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9F5"/>
    <w:multiLevelType w:val="hybridMultilevel"/>
    <w:tmpl w:val="D5C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74C"/>
    <w:rsid w:val="000901E3"/>
    <w:rsid w:val="000D5A89"/>
    <w:rsid w:val="00206DC5"/>
    <w:rsid w:val="0027636F"/>
    <w:rsid w:val="002908EB"/>
    <w:rsid w:val="003D4094"/>
    <w:rsid w:val="00437E9D"/>
    <w:rsid w:val="004C3421"/>
    <w:rsid w:val="00667BAB"/>
    <w:rsid w:val="00715D06"/>
    <w:rsid w:val="0077774C"/>
    <w:rsid w:val="007B3097"/>
    <w:rsid w:val="00941B66"/>
    <w:rsid w:val="00993E10"/>
    <w:rsid w:val="00A20381"/>
    <w:rsid w:val="00A37BB9"/>
    <w:rsid w:val="00B1724F"/>
    <w:rsid w:val="00C62710"/>
    <w:rsid w:val="00CF4910"/>
    <w:rsid w:val="00D16348"/>
    <w:rsid w:val="00D260C2"/>
    <w:rsid w:val="00E64D43"/>
    <w:rsid w:val="00FB12B0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1B66"/>
    <w:rPr>
      <w:strike w:val="0"/>
      <w:dstrike w:val="0"/>
      <w:color w:val="00008B"/>
      <w:u w:val="none"/>
      <w:effect w:val="none"/>
    </w:rPr>
  </w:style>
  <w:style w:type="character" w:customStyle="1" w:styleId="object-active1">
    <w:name w:val="object-active1"/>
    <w:basedOn w:val="DefaultParagraphFont"/>
    <w:rsid w:val="00941B66"/>
    <w:rPr>
      <w:color w:val="0064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hyperlink" Target="http://fire.pppl.gov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m stacey</dc:creator>
  <cp:keywords/>
  <dc:description/>
  <cp:lastModifiedBy>weston m stacey</cp:lastModifiedBy>
  <cp:revision>4</cp:revision>
  <cp:lastPrinted>2014-02-17T18:50:00Z</cp:lastPrinted>
  <dcterms:created xsi:type="dcterms:W3CDTF">2014-02-17T18:04:00Z</dcterms:created>
  <dcterms:modified xsi:type="dcterms:W3CDTF">2014-02-17T18:52:00Z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