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C7" w:rsidRDefault="009606C7" w:rsidP="009606C7">
      <w:pPr>
        <w:jc w:val="center"/>
        <w:rPr>
          <w:b/>
          <w:sz w:val="24"/>
          <w:szCs w:val="24"/>
        </w:rPr>
      </w:pPr>
      <w:r w:rsidRPr="009606C7">
        <w:rPr>
          <w:b/>
          <w:sz w:val="24"/>
          <w:szCs w:val="24"/>
        </w:rPr>
        <w:t xml:space="preserve">FUSION REACTOR DESIGN RESEARCH </w:t>
      </w:r>
    </w:p>
    <w:p w:rsidR="0090687A" w:rsidRDefault="009606C7" w:rsidP="009606C7">
      <w:pPr>
        <w:jc w:val="center"/>
        <w:rPr>
          <w:b/>
          <w:sz w:val="24"/>
          <w:szCs w:val="24"/>
        </w:rPr>
      </w:pPr>
      <w:r w:rsidRPr="009606C7">
        <w:rPr>
          <w:b/>
          <w:sz w:val="24"/>
          <w:szCs w:val="24"/>
        </w:rPr>
        <w:t>AT GEORGIA TECH</w:t>
      </w:r>
    </w:p>
    <w:p w:rsidR="009606C7" w:rsidRDefault="009606C7" w:rsidP="009606C7">
      <w:pPr>
        <w:jc w:val="center"/>
        <w:rPr>
          <w:b/>
          <w:sz w:val="24"/>
          <w:szCs w:val="24"/>
        </w:rPr>
      </w:pPr>
      <w:r w:rsidRPr="009606C7">
        <w:rPr>
          <w:b/>
          <w:sz w:val="24"/>
          <w:szCs w:val="24"/>
        </w:rPr>
        <w:t>W. M. Stacey</w:t>
      </w:r>
    </w:p>
    <w:p w:rsidR="009606C7" w:rsidRDefault="009606C7" w:rsidP="009606C7">
      <w:pPr>
        <w:jc w:val="center"/>
        <w:rPr>
          <w:b/>
          <w:sz w:val="24"/>
          <w:szCs w:val="24"/>
        </w:rPr>
      </w:pPr>
    </w:p>
    <w:p w:rsidR="009606C7" w:rsidRDefault="00E301F4" w:rsidP="009606C7">
      <w:pPr>
        <w:pStyle w:val="ListParagraph"/>
        <w:numPr>
          <w:ilvl w:val="0"/>
          <w:numId w:val="1"/>
        </w:numPr>
        <w:ind w:left="72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EPR</w:t>
      </w:r>
      <w:r w:rsidR="007A6C9C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INTOR </w:t>
      </w:r>
      <w:r w:rsidR="007A6C9C">
        <w:rPr>
          <w:b/>
          <w:sz w:val="24"/>
          <w:szCs w:val="24"/>
        </w:rPr>
        <w:t>leading to</w:t>
      </w:r>
      <w:r w:rsidR="009606C7">
        <w:rPr>
          <w:b/>
          <w:sz w:val="24"/>
          <w:szCs w:val="24"/>
        </w:rPr>
        <w:t xml:space="preserve"> ITER </w:t>
      </w:r>
    </w:p>
    <w:p w:rsidR="009606C7" w:rsidRDefault="0082001D" w:rsidP="0082001D">
      <w:pPr>
        <w:rPr>
          <w:sz w:val="24"/>
          <w:szCs w:val="24"/>
        </w:rPr>
      </w:pPr>
      <w:r>
        <w:rPr>
          <w:sz w:val="24"/>
          <w:szCs w:val="24"/>
        </w:rPr>
        <w:t xml:space="preserve">BACKGROUND: </w:t>
      </w:r>
      <w:r w:rsidR="009606C7">
        <w:rPr>
          <w:sz w:val="24"/>
          <w:szCs w:val="24"/>
        </w:rPr>
        <w:t>Professor Stacey organized and led one of the pioneering design studies for a tokamak Experimental Power Reactor (EPR) at Argonne National Laboratory in the mid-1970’s</w:t>
      </w:r>
      <w:r w:rsidR="00310213">
        <w:rPr>
          <w:sz w:val="24"/>
          <w:szCs w:val="24"/>
        </w:rPr>
        <w:t xml:space="preserve"> [1]</w:t>
      </w:r>
      <w:r w:rsidR="009606C7">
        <w:rPr>
          <w:sz w:val="24"/>
          <w:szCs w:val="24"/>
        </w:rPr>
        <w:t>, before coming to Georgia Tech, on the basis of which</w:t>
      </w:r>
      <w:r w:rsidR="00CF7167">
        <w:rPr>
          <w:sz w:val="24"/>
          <w:szCs w:val="24"/>
        </w:rPr>
        <w:t xml:space="preserve"> he was asked by DoE to organize and lead the US participation in what became the IAEA International Tokamak Reactor (INTOR) Workshop</w:t>
      </w:r>
      <w:r>
        <w:rPr>
          <w:sz w:val="24"/>
          <w:szCs w:val="24"/>
        </w:rPr>
        <w:t>[2,3]</w:t>
      </w:r>
      <w:r w:rsidR="00CF7167">
        <w:rPr>
          <w:sz w:val="24"/>
          <w:szCs w:val="24"/>
        </w:rPr>
        <w:t>.  The INTOR Workshop involved hundreds of fusion physicists and engineers in each the USA, USSR, Japan and Europe</w:t>
      </w:r>
      <w:r w:rsidR="009606C7">
        <w:rPr>
          <w:sz w:val="24"/>
          <w:szCs w:val="24"/>
        </w:rPr>
        <w:t xml:space="preserve"> </w:t>
      </w:r>
      <w:r w:rsidR="00CF7167">
        <w:rPr>
          <w:sz w:val="24"/>
          <w:szCs w:val="24"/>
        </w:rPr>
        <w:t xml:space="preserve">in assessing the feasibility of constructing and operating an EPR, defining the design concept and identifying and prioritizing the required R&amp;D.  Much of the coordination of the US input to INTOR was coordinated and reviewed at Georgia Tech and involved Professors Abdou, Bateman and Thomas and Georgia Tech </w:t>
      </w:r>
      <w:r w:rsidR="00E301F4">
        <w:rPr>
          <w:sz w:val="24"/>
          <w:szCs w:val="24"/>
        </w:rPr>
        <w:t xml:space="preserve">NE </w:t>
      </w:r>
      <w:r w:rsidR="00CF7167">
        <w:rPr>
          <w:sz w:val="24"/>
          <w:szCs w:val="24"/>
        </w:rPr>
        <w:t xml:space="preserve">students, as well as </w:t>
      </w:r>
      <w:r w:rsidR="00F027A0">
        <w:rPr>
          <w:sz w:val="24"/>
          <w:szCs w:val="24"/>
        </w:rPr>
        <w:t>hundreds of US fus</w:t>
      </w:r>
      <w:r w:rsidR="00DF548D">
        <w:rPr>
          <w:sz w:val="24"/>
          <w:szCs w:val="24"/>
        </w:rPr>
        <w:t>ion physicists and engineers under the guidance of</w:t>
      </w:r>
      <w:r w:rsidR="00F027A0">
        <w:rPr>
          <w:sz w:val="24"/>
          <w:szCs w:val="24"/>
        </w:rPr>
        <w:t xml:space="preserve"> </w:t>
      </w:r>
      <w:r w:rsidR="00CF7167">
        <w:rPr>
          <w:sz w:val="24"/>
          <w:szCs w:val="24"/>
        </w:rPr>
        <w:t>Professor Stacey</w:t>
      </w:r>
      <w:r w:rsidR="00E301F4">
        <w:rPr>
          <w:sz w:val="24"/>
          <w:szCs w:val="24"/>
        </w:rPr>
        <w:t>, who also played a major role in the</w:t>
      </w:r>
      <w:r w:rsidR="00663012">
        <w:rPr>
          <w:sz w:val="24"/>
          <w:szCs w:val="24"/>
        </w:rPr>
        <w:t xml:space="preserve"> international</w:t>
      </w:r>
      <w:r w:rsidR="00E301F4">
        <w:rPr>
          <w:sz w:val="24"/>
          <w:szCs w:val="24"/>
        </w:rPr>
        <w:t xml:space="preserve"> leadership of the INTOR Workshop</w:t>
      </w:r>
      <w:r w:rsidR="00CF7167">
        <w:rPr>
          <w:sz w:val="24"/>
          <w:szCs w:val="24"/>
        </w:rPr>
        <w:t>.</w:t>
      </w:r>
      <w:r w:rsidR="00310213">
        <w:rPr>
          <w:sz w:val="24"/>
          <w:szCs w:val="24"/>
        </w:rPr>
        <w:t xml:space="preserve">  The success of the INTOR Workshop led to Secretary Gorbachev suggesting to President Re</w:t>
      </w:r>
      <w:r w:rsidR="00DF548D">
        <w:rPr>
          <w:sz w:val="24"/>
          <w:szCs w:val="24"/>
        </w:rPr>
        <w:t>a</w:t>
      </w:r>
      <w:r w:rsidR="00310213">
        <w:rPr>
          <w:sz w:val="24"/>
          <w:szCs w:val="24"/>
        </w:rPr>
        <w:t xml:space="preserve">gan at the 1985 Geneva Summit Meeting the joint construction and operation of INTOR, which led to formation of the ITER Project in 1988 to carry out the R&amp;D and develop an engineering design.  </w:t>
      </w:r>
    </w:p>
    <w:p w:rsidR="00BD2045" w:rsidRPr="00BD2045" w:rsidRDefault="00BD2045" w:rsidP="00BD2045">
      <w:pPr>
        <w:pStyle w:val="ListParagraph"/>
        <w:spacing w:after="0"/>
        <w:ind w:left="1080"/>
        <w:rPr>
          <w:sz w:val="24"/>
          <w:szCs w:val="24"/>
        </w:rPr>
      </w:pPr>
    </w:p>
    <w:p w:rsidR="007A6C9C" w:rsidRDefault="009447B7" w:rsidP="007A6C9C">
      <w:pPr>
        <w:pStyle w:val="ListParagraph"/>
        <w:numPr>
          <w:ilvl w:val="0"/>
          <w:numId w:val="1"/>
        </w:numPr>
        <w:ind w:left="72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ITER and afte</w:t>
      </w:r>
      <w:r w:rsidR="007A6C9C">
        <w:rPr>
          <w:b/>
          <w:sz w:val="24"/>
          <w:szCs w:val="24"/>
        </w:rPr>
        <w:t>r ITER—DEMO and FUSION-FISSION HYBRIDS</w:t>
      </w:r>
    </w:p>
    <w:p w:rsidR="009447B7" w:rsidRDefault="009447B7" w:rsidP="009447B7">
      <w:pPr>
        <w:rPr>
          <w:sz w:val="24"/>
          <w:szCs w:val="24"/>
        </w:rPr>
      </w:pPr>
      <w:r>
        <w:rPr>
          <w:sz w:val="24"/>
          <w:szCs w:val="24"/>
        </w:rPr>
        <w:t xml:space="preserve">BACKGROUND:  Georgia Tech faculty and students participated as members of the distributed ITER design team prior to the formation of the central ITER team, working on design of radiative power exhaust [5] and thermonuclear burn control [6].  </w:t>
      </w:r>
      <w:r>
        <w:rPr>
          <w:sz w:val="24"/>
          <w:szCs w:val="24"/>
        </w:rPr>
        <w:t>Prof. Stacey served as chair of the ITER Steering Committee—US (ISCUS) in the 1990s, which advised the government on all aspects of the US participation in ITER.   The multibillion $ ITER [4] is now under construction in France by a consortium involving Europe, Japan, China, South Korea, India, Russia and the USA</w:t>
      </w:r>
      <w:r w:rsidR="00B90119">
        <w:rPr>
          <w:sz w:val="24"/>
          <w:szCs w:val="24"/>
        </w:rPr>
        <w:t>, with operation scheduled to begin in the 2020s</w:t>
      </w:r>
      <w:r>
        <w:rPr>
          <w:sz w:val="24"/>
          <w:szCs w:val="24"/>
        </w:rPr>
        <w:t>.</w:t>
      </w:r>
    </w:p>
    <w:p w:rsidR="00050AC3" w:rsidRDefault="00050AC3" w:rsidP="009447B7">
      <w:pPr>
        <w:rPr>
          <w:sz w:val="24"/>
          <w:szCs w:val="24"/>
        </w:rPr>
      </w:pPr>
      <w:r>
        <w:rPr>
          <w:sz w:val="24"/>
          <w:szCs w:val="24"/>
        </w:rPr>
        <w:tab/>
        <w:t>The conventional wisdom of fusion development is that after the operation of the EPR</w:t>
      </w:r>
      <w:r w:rsidR="00B90119">
        <w:rPr>
          <w:sz w:val="24"/>
          <w:szCs w:val="24"/>
        </w:rPr>
        <w:t xml:space="preserve"> </w:t>
      </w:r>
      <w:r>
        <w:rPr>
          <w:sz w:val="24"/>
          <w:szCs w:val="24"/>
        </w:rPr>
        <w:t>(ITER), the next major reactor would be a DEMO, then followed by “commercial  fusion power reactors”.  Based on his experience in the INTOR Workshop, Prof. Stacey developed one of the earliest evaluations of</w:t>
      </w:r>
      <w:r w:rsidR="007771FD">
        <w:rPr>
          <w:sz w:val="24"/>
          <w:szCs w:val="24"/>
        </w:rPr>
        <w:t xml:space="preserve"> possible</w:t>
      </w:r>
      <w:r>
        <w:rPr>
          <w:sz w:val="24"/>
          <w:szCs w:val="24"/>
        </w:rPr>
        <w:t xml:space="preserve"> DEMO parameters [5].</w:t>
      </w:r>
    </w:p>
    <w:p w:rsidR="00DC0742" w:rsidRDefault="00050AC3" w:rsidP="009447B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90015">
        <w:rPr>
          <w:sz w:val="24"/>
          <w:szCs w:val="24"/>
        </w:rPr>
        <w:t>Georgia Tech</w:t>
      </w:r>
      <w:r>
        <w:rPr>
          <w:sz w:val="24"/>
          <w:szCs w:val="24"/>
        </w:rPr>
        <w:t xml:space="preserve"> </w:t>
      </w:r>
      <w:r w:rsidR="00B90119">
        <w:rPr>
          <w:sz w:val="24"/>
          <w:szCs w:val="24"/>
        </w:rPr>
        <w:t>researcher</w:t>
      </w:r>
      <w:r w:rsidR="00B46720">
        <w:rPr>
          <w:sz w:val="24"/>
          <w:szCs w:val="24"/>
        </w:rPr>
        <w:t xml:space="preserve"> </w:t>
      </w:r>
      <w:r>
        <w:rPr>
          <w:sz w:val="24"/>
          <w:szCs w:val="24"/>
        </w:rPr>
        <w:t>advanced the idea that</w:t>
      </w:r>
      <w:r w:rsidR="00DC0742">
        <w:rPr>
          <w:sz w:val="24"/>
          <w:szCs w:val="24"/>
        </w:rPr>
        <w:t xml:space="preserve">, although the ITER level of fusion development would </w:t>
      </w:r>
      <w:r w:rsidR="009B139F">
        <w:rPr>
          <w:sz w:val="24"/>
          <w:szCs w:val="24"/>
        </w:rPr>
        <w:t xml:space="preserve">not </w:t>
      </w:r>
      <w:r w:rsidR="00DC0742">
        <w:rPr>
          <w:sz w:val="24"/>
          <w:szCs w:val="24"/>
        </w:rPr>
        <w:t>enable economically competitive fusion power reactors,</w:t>
      </w:r>
      <w:r>
        <w:rPr>
          <w:sz w:val="24"/>
          <w:szCs w:val="24"/>
        </w:rPr>
        <w:t xml:space="preserve"> the copious fusion neutron source provide</w:t>
      </w:r>
      <w:r w:rsidR="00DC0742">
        <w:rPr>
          <w:sz w:val="24"/>
          <w:szCs w:val="24"/>
        </w:rPr>
        <w:t>d</w:t>
      </w:r>
      <w:r>
        <w:rPr>
          <w:sz w:val="24"/>
          <w:szCs w:val="24"/>
        </w:rPr>
        <w:t xml:space="preserve"> by</w:t>
      </w:r>
      <w:r w:rsidR="00DC0742">
        <w:rPr>
          <w:sz w:val="24"/>
          <w:szCs w:val="24"/>
        </w:rPr>
        <w:t xml:space="preserve"> the </w:t>
      </w:r>
      <w:r>
        <w:rPr>
          <w:sz w:val="24"/>
          <w:szCs w:val="24"/>
        </w:rPr>
        <w:t>ITER</w:t>
      </w:r>
      <w:r w:rsidR="00DC0742">
        <w:rPr>
          <w:sz w:val="24"/>
          <w:szCs w:val="24"/>
        </w:rPr>
        <w:t xml:space="preserve"> level of fusion development</w:t>
      </w:r>
      <w:r w:rsidR="00B46720">
        <w:rPr>
          <w:sz w:val="24"/>
          <w:szCs w:val="24"/>
        </w:rPr>
        <w:t xml:space="preserve"> could be useful for other purposes than pure fusion reactor electricity production[6], thus allowing fusion to contribute to carbon-free energy production at an earlier stage.  </w:t>
      </w:r>
      <w:r w:rsidR="009B139F">
        <w:rPr>
          <w:sz w:val="24"/>
          <w:szCs w:val="24"/>
        </w:rPr>
        <w:t>A</w:t>
      </w:r>
      <w:r w:rsidR="00B46720">
        <w:rPr>
          <w:sz w:val="24"/>
          <w:szCs w:val="24"/>
        </w:rPr>
        <w:t xml:space="preserve"> series of faculty-student designs</w:t>
      </w:r>
      <w:r w:rsidR="009B139F">
        <w:rPr>
          <w:sz w:val="24"/>
          <w:szCs w:val="24"/>
        </w:rPr>
        <w:t xml:space="preserve"> were carried out at Georgia Tech</w:t>
      </w:r>
      <w:r w:rsidR="00B46720">
        <w:rPr>
          <w:sz w:val="24"/>
          <w:szCs w:val="24"/>
        </w:rPr>
        <w:t xml:space="preserve"> of fusion-fission hybrids—</w:t>
      </w:r>
      <w:r w:rsidR="00DC0742">
        <w:rPr>
          <w:sz w:val="24"/>
          <w:szCs w:val="24"/>
        </w:rPr>
        <w:t>an</w:t>
      </w:r>
      <w:r w:rsidR="00B46720">
        <w:rPr>
          <w:sz w:val="24"/>
          <w:szCs w:val="24"/>
        </w:rPr>
        <w:t xml:space="preserve"> ITER</w:t>
      </w:r>
      <w:r w:rsidR="00DC0742">
        <w:rPr>
          <w:sz w:val="24"/>
          <w:szCs w:val="24"/>
        </w:rPr>
        <w:t>-like</w:t>
      </w:r>
      <w:r w:rsidR="00B46720">
        <w:rPr>
          <w:sz w:val="24"/>
          <w:szCs w:val="24"/>
        </w:rPr>
        <w:t xml:space="preserve"> tokamak as a neutron source with the plasma surrounded by a</w:t>
      </w:r>
      <w:r w:rsidR="00B90119">
        <w:rPr>
          <w:sz w:val="24"/>
          <w:szCs w:val="24"/>
        </w:rPr>
        <w:t>n annular</w:t>
      </w:r>
      <w:r w:rsidR="00B46720">
        <w:rPr>
          <w:sz w:val="24"/>
          <w:szCs w:val="24"/>
        </w:rPr>
        <w:t xml:space="preserve"> nuclear reactor for</w:t>
      </w:r>
      <w:r w:rsidR="00DC0742">
        <w:rPr>
          <w:sz w:val="24"/>
          <w:szCs w:val="24"/>
        </w:rPr>
        <w:t xml:space="preserve"> either</w:t>
      </w:r>
      <w:r w:rsidR="00B46720">
        <w:rPr>
          <w:sz w:val="24"/>
          <w:szCs w:val="24"/>
        </w:rPr>
        <w:t xml:space="preserve"> i)</w:t>
      </w:r>
      <w:r w:rsidR="00490015">
        <w:rPr>
          <w:sz w:val="24"/>
          <w:szCs w:val="24"/>
        </w:rPr>
        <w:t xml:space="preserve"> </w:t>
      </w:r>
      <w:r w:rsidR="00B46720">
        <w:rPr>
          <w:sz w:val="24"/>
          <w:szCs w:val="24"/>
        </w:rPr>
        <w:t xml:space="preserve">weapons tritium production[7], </w:t>
      </w:r>
      <w:r w:rsidR="00611A5E">
        <w:rPr>
          <w:sz w:val="24"/>
          <w:szCs w:val="24"/>
        </w:rPr>
        <w:t xml:space="preserve">ii) the </w:t>
      </w:r>
      <w:r w:rsidR="00490015">
        <w:rPr>
          <w:sz w:val="24"/>
          <w:szCs w:val="24"/>
        </w:rPr>
        <w:t>“</w:t>
      </w:r>
      <w:r w:rsidR="00611A5E">
        <w:rPr>
          <w:sz w:val="24"/>
          <w:szCs w:val="24"/>
        </w:rPr>
        <w:t>disposition</w:t>
      </w:r>
      <w:r w:rsidR="00490015">
        <w:rPr>
          <w:sz w:val="24"/>
          <w:szCs w:val="24"/>
        </w:rPr>
        <w:t>” (by neutron transmutation to other isotopes)</w:t>
      </w:r>
      <w:r w:rsidR="00611A5E">
        <w:rPr>
          <w:sz w:val="24"/>
          <w:szCs w:val="24"/>
        </w:rPr>
        <w:t xml:space="preserve"> of weapons-grade plutonium [8] or iii) the transmutation (fission) of the transuranics in spent nuclear fuel that had been removed from conventional nuclear reactors</w:t>
      </w:r>
      <w:r w:rsidR="00B46720">
        <w:rPr>
          <w:sz w:val="24"/>
          <w:szCs w:val="24"/>
        </w:rPr>
        <w:t xml:space="preserve"> </w:t>
      </w:r>
      <w:r w:rsidR="00611A5E">
        <w:rPr>
          <w:sz w:val="24"/>
          <w:szCs w:val="24"/>
        </w:rPr>
        <w:t>[9-13]</w:t>
      </w:r>
      <w:r w:rsidR="000827C5">
        <w:rPr>
          <w:sz w:val="24"/>
          <w:szCs w:val="24"/>
        </w:rPr>
        <w:t>.</w:t>
      </w:r>
      <w:r w:rsidR="00304C28">
        <w:rPr>
          <w:sz w:val="24"/>
          <w:szCs w:val="24"/>
        </w:rPr>
        <w:t xml:space="preserve">  </w:t>
      </w:r>
    </w:p>
    <w:p w:rsidR="00050AC3" w:rsidRDefault="00DC0742" w:rsidP="00DC074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last option, the transmutation of transuranics in spent nuclear fuel, is particularly attractive because it could reduce the capacity required for high-level radioactivity waste repositories </w:t>
      </w:r>
      <w:r w:rsidR="00B90119">
        <w:rPr>
          <w:sz w:val="24"/>
          <w:szCs w:val="24"/>
        </w:rPr>
        <w:t xml:space="preserve">(HLWRs) </w:t>
      </w:r>
      <w:r>
        <w:rPr>
          <w:sz w:val="24"/>
          <w:szCs w:val="24"/>
        </w:rPr>
        <w:t xml:space="preserve">by an order of magnitude or more, </w:t>
      </w:r>
      <w:r w:rsidR="00490015">
        <w:rPr>
          <w:sz w:val="24"/>
          <w:szCs w:val="24"/>
        </w:rPr>
        <w:t xml:space="preserve">thus eliminating a major impediment to the expansion of nuclear power, </w:t>
      </w:r>
      <w:r>
        <w:rPr>
          <w:sz w:val="24"/>
          <w:szCs w:val="24"/>
        </w:rPr>
        <w:t>while at the same time extracting additional energy from the nuclear fuel.</w:t>
      </w:r>
      <w:r w:rsidR="009B139F">
        <w:rPr>
          <w:sz w:val="24"/>
          <w:szCs w:val="24"/>
        </w:rPr>
        <w:t xml:space="preserve">  Fuel cycle analyses[14] indicate that one 3000MWth FFH </w:t>
      </w:r>
      <w:r w:rsidR="00490015">
        <w:rPr>
          <w:sz w:val="24"/>
          <w:szCs w:val="24"/>
        </w:rPr>
        <w:t xml:space="preserve">Subcritical Advanced </w:t>
      </w:r>
      <w:r w:rsidR="009B139F">
        <w:rPr>
          <w:sz w:val="24"/>
          <w:szCs w:val="24"/>
        </w:rPr>
        <w:t>“</w:t>
      </w:r>
      <w:r w:rsidR="00490015">
        <w:rPr>
          <w:sz w:val="24"/>
          <w:szCs w:val="24"/>
        </w:rPr>
        <w:t>B</w:t>
      </w:r>
      <w:r w:rsidR="009B139F">
        <w:rPr>
          <w:sz w:val="24"/>
          <w:szCs w:val="24"/>
        </w:rPr>
        <w:t xml:space="preserve">urner” </w:t>
      </w:r>
      <w:r w:rsidR="00490015">
        <w:rPr>
          <w:sz w:val="24"/>
          <w:szCs w:val="24"/>
        </w:rPr>
        <w:t>R</w:t>
      </w:r>
      <w:r w:rsidR="009B139F">
        <w:rPr>
          <w:sz w:val="24"/>
          <w:szCs w:val="24"/>
        </w:rPr>
        <w:t>eactor</w:t>
      </w:r>
      <w:r w:rsidR="00490015">
        <w:rPr>
          <w:sz w:val="24"/>
          <w:szCs w:val="24"/>
        </w:rPr>
        <w:t xml:space="preserve"> (SABR)</w:t>
      </w:r>
      <w:r w:rsidR="009B139F">
        <w:rPr>
          <w:sz w:val="24"/>
          <w:szCs w:val="24"/>
        </w:rPr>
        <w:t xml:space="preserve"> with 75% availability could fission all the transuranics produced annually by three 3000MWth LWRs</w:t>
      </w:r>
      <w:r w:rsidR="00115800">
        <w:rPr>
          <w:sz w:val="24"/>
          <w:szCs w:val="24"/>
        </w:rPr>
        <w:t xml:space="preserve">.  Preliminary safety analyses </w:t>
      </w:r>
      <w:r w:rsidR="00490015">
        <w:rPr>
          <w:sz w:val="24"/>
          <w:szCs w:val="24"/>
        </w:rPr>
        <w:t>did not identify any problems</w:t>
      </w:r>
      <w:r w:rsidR="00115800">
        <w:rPr>
          <w:sz w:val="24"/>
          <w:szCs w:val="24"/>
        </w:rPr>
        <w:t>[15].</w:t>
      </w:r>
      <w:r w:rsidR="00906FC7">
        <w:rPr>
          <w:sz w:val="24"/>
          <w:szCs w:val="24"/>
        </w:rPr>
        <w:t xml:space="preserve">  The present version of SABR consists of ITER technology and a slightly smaller tokamak plasma surrounded by a “nuclear annulus” consisting of 10 modular sodium pools each containing a 300 MWth transuranics metal fuel</w:t>
      </w:r>
      <w:r w:rsidR="00B90119">
        <w:rPr>
          <w:sz w:val="24"/>
          <w:szCs w:val="24"/>
        </w:rPr>
        <w:t>e</w:t>
      </w:r>
      <w:r w:rsidR="00906FC7">
        <w:rPr>
          <w:sz w:val="24"/>
          <w:szCs w:val="24"/>
        </w:rPr>
        <w:t>d fast reactor.</w:t>
      </w:r>
    </w:p>
    <w:p w:rsidR="009447B7" w:rsidRDefault="00490015" w:rsidP="009447B7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Short </w:t>
      </w:r>
      <w:r w:rsidR="001E17AF">
        <w:rPr>
          <w:sz w:val="24"/>
          <w:szCs w:val="24"/>
        </w:rPr>
        <w:t>TIGR para</w:t>
      </w:r>
    </w:p>
    <w:p w:rsidR="00490015" w:rsidRDefault="00490015" w:rsidP="009447B7">
      <w:pPr>
        <w:ind w:left="90"/>
        <w:rPr>
          <w:sz w:val="24"/>
          <w:szCs w:val="24"/>
        </w:rPr>
      </w:pPr>
      <w:r>
        <w:rPr>
          <w:sz w:val="24"/>
          <w:szCs w:val="24"/>
        </w:rPr>
        <w:t>ONGOING WORK:  Two PhD thesis are</w:t>
      </w:r>
      <w:r w:rsidR="00906FC7">
        <w:rPr>
          <w:sz w:val="24"/>
          <w:szCs w:val="24"/>
        </w:rPr>
        <w:t xml:space="preserve"> investigating the inherent safety and burn stability of the SABR concept.  A 10-node neutron and primary coolant </w:t>
      </w:r>
      <w:r w:rsidR="00EC400E">
        <w:rPr>
          <w:sz w:val="24"/>
          <w:szCs w:val="24"/>
        </w:rPr>
        <w:t xml:space="preserve">system </w:t>
      </w:r>
      <w:r w:rsidR="00906FC7">
        <w:rPr>
          <w:sz w:val="24"/>
          <w:szCs w:val="24"/>
        </w:rPr>
        <w:t xml:space="preserve">plus secondary </w:t>
      </w:r>
      <w:r w:rsidR="00EC400E">
        <w:rPr>
          <w:sz w:val="24"/>
          <w:szCs w:val="24"/>
        </w:rPr>
        <w:t xml:space="preserve">coolant </w:t>
      </w:r>
      <w:r w:rsidR="00906FC7">
        <w:rPr>
          <w:sz w:val="24"/>
          <w:szCs w:val="24"/>
        </w:rPr>
        <w:t>system dynamics model is being developed by Andrew Bopp to investigate whether negative</w:t>
      </w:r>
      <w:r w:rsidR="00EC400E">
        <w:rPr>
          <w:sz w:val="24"/>
          <w:szCs w:val="24"/>
        </w:rPr>
        <w:t xml:space="preserve"> reactivity</w:t>
      </w:r>
      <w:r w:rsidR="00906FC7">
        <w:rPr>
          <w:sz w:val="24"/>
          <w:szCs w:val="24"/>
        </w:rPr>
        <w:t xml:space="preserve"> feedback mechanisms would shut the </w:t>
      </w:r>
      <w:r w:rsidR="00EC400E">
        <w:rPr>
          <w:sz w:val="24"/>
          <w:szCs w:val="24"/>
        </w:rPr>
        <w:t xml:space="preserve">reactor </w:t>
      </w:r>
      <w:r w:rsidR="00906FC7">
        <w:rPr>
          <w:sz w:val="24"/>
          <w:szCs w:val="24"/>
        </w:rPr>
        <w:t xml:space="preserve">down in the event of any </w:t>
      </w:r>
      <w:r w:rsidR="00EC400E">
        <w:rPr>
          <w:sz w:val="24"/>
          <w:szCs w:val="24"/>
        </w:rPr>
        <w:t>loss of primary or secondary coolant flow, and the operational dynamics and stability of the tokamak plasma when subjected to an inadvertent off-normal condition is being investigated by Max Hill.</w:t>
      </w:r>
      <w:r w:rsidR="00906FC7">
        <w:rPr>
          <w:sz w:val="24"/>
          <w:szCs w:val="24"/>
        </w:rPr>
        <w:t xml:space="preserve"> </w:t>
      </w:r>
      <w:r w:rsidR="00B90119">
        <w:rPr>
          <w:sz w:val="24"/>
          <w:szCs w:val="24"/>
        </w:rPr>
        <w:t xml:space="preserve"> This latter work is also of direct relevance for ITER operation.</w:t>
      </w:r>
      <w:bookmarkStart w:id="0" w:name="_GoBack"/>
      <w:bookmarkEnd w:id="0"/>
      <w:r w:rsidR="00EC400E">
        <w:rPr>
          <w:sz w:val="24"/>
          <w:szCs w:val="24"/>
        </w:rPr>
        <w:t xml:space="preserve"> </w:t>
      </w:r>
    </w:p>
    <w:p w:rsidR="00EC400E" w:rsidRDefault="00EC400E" w:rsidP="009447B7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FUTURE WORK: </w:t>
      </w:r>
      <w:r w:rsidR="00722004">
        <w:rPr>
          <w:sz w:val="24"/>
          <w:szCs w:val="24"/>
        </w:rPr>
        <w:t xml:space="preserve"> We anticipate theses investigating i) the nuclear fuel cycle and reduction in high-level radioactive waste repository requirements, ii) tritium self-sufficiency, and iii) the removal and replacement of fuel in the modular reactors.  Finally, we anticipate a future iv) upgrade of the SABR design concept based upon what has been learned. </w:t>
      </w:r>
    </w:p>
    <w:p w:rsidR="00EC400E" w:rsidRDefault="00EC400E" w:rsidP="00EC400E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EC400E" w:rsidRDefault="00EC400E" w:rsidP="00EC400E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D2045">
        <w:rPr>
          <w:sz w:val="24"/>
          <w:szCs w:val="24"/>
        </w:rPr>
        <w:t xml:space="preserve">Nucl. Techn. 30, 261(1976).    2.  Prog. In Nucl. Energy 22,119(1988).  3. </w:t>
      </w:r>
      <w:r w:rsidRPr="00BD2045">
        <w:rPr>
          <w:i/>
          <w:sz w:val="24"/>
          <w:szCs w:val="24"/>
        </w:rPr>
        <w:t>The Quest fora Fusion Energy Reactor</w:t>
      </w:r>
      <w:r w:rsidRPr="00BD2045">
        <w:rPr>
          <w:sz w:val="24"/>
          <w:szCs w:val="24"/>
        </w:rPr>
        <w:t xml:space="preserve">, Oxford Univ. Press, New York(2010).  4.  </w:t>
      </w:r>
      <w:hyperlink r:id="rId8" w:history="1">
        <w:r w:rsidRPr="00BD2045">
          <w:rPr>
            <w:rStyle w:val="Hyperlink"/>
            <w:sz w:val="24"/>
            <w:szCs w:val="24"/>
          </w:rPr>
          <w:t>www.ITER.org</w:t>
        </w:r>
      </w:hyperlink>
      <w:r w:rsidRPr="00BD2045">
        <w:rPr>
          <w:sz w:val="24"/>
          <w:szCs w:val="24"/>
        </w:rPr>
        <w:t xml:space="preserve">.  5. Nucl. Fus. 35, </w:t>
      </w:r>
      <w:r w:rsidRPr="00BD2045">
        <w:rPr>
          <w:sz w:val="24"/>
          <w:szCs w:val="24"/>
        </w:rPr>
        <w:lastRenderedPageBreak/>
        <w:t>1369(1995).  6. Nucl. Fus. 41, 135(2001).  7.  Fus. Techn. 32,563(1997).  8.  Fus. Techn. 27,326(1995).  9. Fus.Sci.&amp;Tech. 39,525(2001). 10. Nucl. Tech. 156,9(2006).  11. Fus.Sci.&amp;Tech. 63,81(2002).  12. Nucl. Tech. 162,53(2008).  13. Nucl. Tech.</w:t>
      </w:r>
      <w:r>
        <w:rPr>
          <w:sz w:val="24"/>
          <w:szCs w:val="24"/>
        </w:rPr>
        <w:t xml:space="preserve"> 187,15(2014).  14. Nucl. Tech. 182, 274(2013).  15. Nucl. Tech.171,1123(2010).</w:t>
      </w:r>
    </w:p>
    <w:p w:rsidR="009606C7" w:rsidRPr="009606C7" w:rsidRDefault="009606C7" w:rsidP="009606C7"/>
    <w:sectPr w:rsidR="009606C7" w:rsidRPr="009606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F4" w:rsidRDefault="00B960F4" w:rsidP="00722004">
      <w:pPr>
        <w:spacing w:after="0" w:line="240" w:lineRule="auto"/>
      </w:pPr>
      <w:r>
        <w:separator/>
      </w:r>
    </w:p>
  </w:endnote>
  <w:endnote w:type="continuationSeparator" w:id="0">
    <w:p w:rsidR="00B960F4" w:rsidRDefault="00B960F4" w:rsidP="0072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116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004" w:rsidRDefault="00722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2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2004" w:rsidRDefault="00722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F4" w:rsidRDefault="00B960F4" w:rsidP="00722004">
      <w:pPr>
        <w:spacing w:after="0" w:line="240" w:lineRule="auto"/>
      </w:pPr>
      <w:r>
        <w:separator/>
      </w:r>
    </w:p>
  </w:footnote>
  <w:footnote w:type="continuationSeparator" w:id="0">
    <w:p w:rsidR="00B960F4" w:rsidRDefault="00B960F4" w:rsidP="0072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61E3"/>
    <w:multiLevelType w:val="hybridMultilevel"/>
    <w:tmpl w:val="E7A0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37F01"/>
    <w:multiLevelType w:val="hybridMultilevel"/>
    <w:tmpl w:val="5B86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D6357"/>
    <w:multiLevelType w:val="hybridMultilevel"/>
    <w:tmpl w:val="0FEE7DEA"/>
    <w:lvl w:ilvl="0" w:tplc="041E5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7"/>
    <w:rsid w:val="000302E3"/>
    <w:rsid w:val="00050AC3"/>
    <w:rsid w:val="000827C5"/>
    <w:rsid w:val="00115800"/>
    <w:rsid w:val="001E17AF"/>
    <w:rsid w:val="00304C28"/>
    <w:rsid w:val="00310213"/>
    <w:rsid w:val="00490015"/>
    <w:rsid w:val="00611A5E"/>
    <w:rsid w:val="00663012"/>
    <w:rsid w:val="006C69D5"/>
    <w:rsid w:val="00722004"/>
    <w:rsid w:val="007771FD"/>
    <w:rsid w:val="007A6C9C"/>
    <w:rsid w:val="0082001D"/>
    <w:rsid w:val="008B5179"/>
    <w:rsid w:val="0090687A"/>
    <w:rsid w:val="00906FC7"/>
    <w:rsid w:val="009447B7"/>
    <w:rsid w:val="009606C7"/>
    <w:rsid w:val="00980408"/>
    <w:rsid w:val="009B139F"/>
    <w:rsid w:val="00A26CA8"/>
    <w:rsid w:val="00B46720"/>
    <w:rsid w:val="00B90119"/>
    <w:rsid w:val="00B960F4"/>
    <w:rsid w:val="00B97236"/>
    <w:rsid w:val="00BD2045"/>
    <w:rsid w:val="00C527D7"/>
    <w:rsid w:val="00CF3C1F"/>
    <w:rsid w:val="00CF7167"/>
    <w:rsid w:val="00DC0742"/>
    <w:rsid w:val="00DF548D"/>
    <w:rsid w:val="00E301F4"/>
    <w:rsid w:val="00EC400E"/>
    <w:rsid w:val="00F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04"/>
  </w:style>
  <w:style w:type="paragraph" w:styleId="Footer">
    <w:name w:val="footer"/>
    <w:basedOn w:val="Normal"/>
    <w:link w:val="FooterChar"/>
    <w:uiPriority w:val="99"/>
    <w:unhideWhenUsed/>
    <w:rsid w:val="0072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04"/>
  </w:style>
  <w:style w:type="paragraph" w:styleId="Footer">
    <w:name w:val="footer"/>
    <w:basedOn w:val="Normal"/>
    <w:link w:val="FooterChar"/>
    <w:uiPriority w:val="99"/>
    <w:unhideWhenUsed/>
    <w:rsid w:val="0072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4773</Characters>
  <Application>Microsoft Office Word</Application>
  <DocSecurity>0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Stacey, Weston M</dc:creator>
  <cp:lastModifiedBy>Stacey, Weston M</cp:lastModifiedBy>
  <cp:revision>2</cp:revision>
  <cp:lastPrinted>2016-04-01T13:21:00Z</cp:lastPrinted>
  <dcterms:created xsi:type="dcterms:W3CDTF">2016-04-01T14:15:00Z</dcterms:created>
  <dcterms:modified xsi:type="dcterms:W3CDTF">2016-04-01T14:15:00Z</dcterms:modified>
</cp:coreProperties>
</file>